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Imagine having a twenty-minute conversation with a non-Christian in which you discuss spiritual things for</w: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margin">
                  <wp:posOffset>-11110</wp:posOffset>
                </wp:positionH>
                <wp:positionV relativeFrom="page">
                  <wp:posOffset>731500</wp:posOffset>
                </wp:positionV>
                <wp:extent cx="5953125" cy="365800"/>
                <wp:effectExtent b="0" l="0" r="0" t="0"/>
                <wp:wrapTopAndBottom distB="152400" distT="152400"/>
                <wp:docPr id="1073741826" name=""/>
                <a:graphic>
                  <a:graphicData uri="http://schemas.microsoft.com/office/word/2010/wordprocessingShape">
                    <wps:wsp>
                      <wps:cNvSpPr/>
                      <wps:cNvPr id="2" name="Shape 2"/>
                      <wps:spPr>
                        <a:xfrm>
                          <a:off x="2374200" y="3601863"/>
                          <a:ext cx="5943600" cy="356275"/>
                        </a:xfrm>
                        <a:prstGeom prst="rect">
                          <a:avLst/>
                        </a:prstGeom>
                        <a:blipFill rotWithShape="1">
                          <a:blip r:embed="rId7">
                            <a:alphaModFix/>
                          </a:blip>
                          <a:tile algn="tl" flip="none" tx="0" sx="100000" ty="0" sy="100000"/>
                        </a:blipFill>
                        <a:ln>
                          <a:noFill/>
                        </a:ln>
                        <a:effectLst>
                          <a:outerShdw blurRad="38100" rotWithShape="0" dir="5400000" dist="25400">
                            <a:srgbClr val="000000">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efefe"/>
                                <w:sz w:val="28"/>
                                <w:vertAlign w:val="baseline"/>
                              </w:rPr>
                              <w:t xml:space="preserve">Transitioning Conversations to Get a Gospel Appointment</w:t>
                            </w:r>
                          </w:p>
                        </w:txbxContent>
                      </wps:txbx>
                      <wps:bodyPr anchorCtr="0" anchor="ctr"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margin">
                  <wp:posOffset>-11110</wp:posOffset>
                </wp:positionH>
                <wp:positionV relativeFrom="page">
                  <wp:posOffset>731500</wp:posOffset>
                </wp:positionV>
                <wp:extent cx="5953125" cy="365800"/>
                <wp:effectExtent b="0" l="0" r="0" t="0"/>
                <wp:wrapTopAndBottom distB="152400" distT="152400"/>
                <wp:docPr id="107374182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53125" cy="365800"/>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only 45 seconds but you leave your conversation with an appointment to share the gospel with him/her the next day.  Sound too good to be true? It can be a reality and a lifestyle.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Making the Most of opportunities (Colossians 4:5-6)</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gospel is the power of God (Romans 1:16) for salvation. In a target ministry context, it is usually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not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most effective to share the gospel the first time you bring up spiritual issues. You may overwhelm him/her and the message may not get the hearing it deserves.  Therefore, having an objective of getting an appointment to share the gospel at another time is often the most effective way to present the gospel in a target ministry context. Be aggressive in getting appointments.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following gives instructions to prompt your thinking along with a tried and true example of how to transition a conversation to get a gospel appointment. Start with one approach and perfect it; but plan to develop several different approaches so that you can adapt to different people and situations.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How</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What are some simple and natural ways you can identify with Christ while in a conversation with a non-Christian?  (Example- “Do you know Jim down the hall? He’s a cool guy; we are in a Bible study together.) Brainstorm other ways.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you have identified with Christ, how can you use this topic to ask them where they are spiritually?  (Examples: “Would you be interested in being in the Bible study?  You have much spiritual interest?” “Did you go to church at all growing up?”) What are other pulse checking questions?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 person doesn’t have much spiritual interest, or if they do and you aren’t totally sure they have received Christ, what are some ways you can introduce the Gospel as something you would like to show them?  (Example: “I never really had any spiritual interest until I really understood the main theme of the Bible.  There is this verse that helped me understand it. It’s pretty cool. I’d love to show it to you sometime.”) Others?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End the transition with, “Do you want to meet up sometime to look at that verse I mentioned?”  Set up a specific time, or if they don’t know their schedule, tell them you will call them later on and set it up then.  Be laid back-not pushy.  Once they respond to this, change the subject to non-spiritual topics and shoot the breeze a while.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Action Steps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16" w:right="720" w:hanging="556"/>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Role-play this scenario with a partner</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16" w:right="720" w:hanging="556"/>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Make a list of non-Christian friends and think of the most natural way to identify with Christ and transition to the Gospel with each one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16" w:right="720" w:hanging="556"/>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Pray over your list and get someone to hold you accountable to setting up Gospel appointments with each person on your list.</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16" w:right="720" w:hanging="556"/>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Try it!</w:t>
      </w:r>
    </w:p>
    <w:sectPr>
      <w:headerReference r:id="rId9" w:type="default"/>
      <w:footerReference r:id="rId10"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16" w:hanging="556"/>
      </w:pPr>
      <w:rPr>
        <w:smallCaps w:val="0"/>
        <w:strike w:val="0"/>
        <w:shd w:fill="auto" w:val="clear"/>
        <w:vertAlign w:val="baseline"/>
      </w:rPr>
    </w:lvl>
    <w:lvl w:ilvl="1">
      <w:start w:val="1"/>
      <w:numFmt w:val="bullet"/>
      <w:lvlText w:val="•"/>
      <w:lvlJc w:val="left"/>
      <w:pPr>
        <w:ind w:left="1080" w:hanging="540"/>
      </w:pPr>
      <w:rPr>
        <w:smallCaps w:val="0"/>
        <w:strike w:val="0"/>
        <w:shd w:fill="auto" w:val="clear"/>
        <w:vertAlign w:val="baseline"/>
      </w:rPr>
    </w:lvl>
    <w:lvl w:ilvl="2">
      <w:start w:val="1"/>
      <w:numFmt w:val="bullet"/>
      <w:lvlText w:val="•"/>
      <w:lvlJc w:val="left"/>
      <w:pPr>
        <w:ind w:left="1260" w:hanging="540"/>
      </w:pPr>
      <w:rPr>
        <w:smallCaps w:val="0"/>
        <w:strike w:val="0"/>
        <w:shd w:fill="auto" w:val="clear"/>
        <w:vertAlign w:val="baseline"/>
      </w:rPr>
    </w:lvl>
    <w:lvl w:ilvl="3">
      <w:start w:val="1"/>
      <w:numFmt w:val="bullet"/>
      <w:lvlText w:val="•"/>
      <w:lvlJc w:val="left"/>
      <w:pPr>
        <w:ind w:left="1440" w:hanging="540"/>
      </w:pPr>
      <w:rPr>
        <w:smallCaps w:val="0"/>
        <w:strike w:val="0"/>
        <w:shd w:fill="auto" w:val="clear"/>
        <w:vertAlign w:val="baseline"/>
      </w:rPr>
    </w:lvl>
    <w:lvl w:ilvl="4">
      <w:start w:val="1"/>
      <w:numFmt w:val="bullet"/>
      <w:lvlText w:val="•"/>
      <w:lvlJc w:val="left"/>
      <w:pPr>
        <w:ind w:left="1620" w:hanging="540"/>
      </w:pPr>
      <w:rPr>
        <w:smallCaps w:val="0"/>
        <w:strike w:val="0"/>
        <w:shd w:fill="auto" w:val="clear"/>
        <w:vertAlign w:val="baseline"/>
      </w:rPr>
    </w:lvl>
    <w:lvl w:ilvl="5">
      <w:start w:val="1"/>
      <w:numFmt w:val="bullet"/>
      <w:lvlText w:val="•"/>
      <w:lvlJc w:val="left"/>
      <w:pPr>
        <w:ind w:left="1800" w:hanging="540"/>
      </w:pPr>
      <w:rPr>
        <w:smallCaps w:val="0"/>
        <w:strike w:val="0"/>
        <w:shd w:fill="auto" w:val="clear"/>
        <w:vertAlign w:val="baseline"/>
      </w:rPr>
    </w:lvl>
    <w:lvl w:ilvl="6">
      <w:start w:val="1"/>
      <w:numFmt w:val="bullet"/>
      <w:lvlText w:val="•"/>
      <w:lvlJc w:val="left"/>
      <w:pPr>
        <w:ind w:left="1980" w:hanging="540"/>
      </w:pPr>
      <w:rPr>
        <w:smallCaps w:val="0"/>
        <w:strike w:val="0"/>
        <w:shd w:fill="auto" w:val="clear"/>
        <w:vertAlign w:val="baseline"/>
      </w:rPr>
    </w:lvl>
    <w:lvl w:ilvl="7">
      <w:start w:val="1"/>
      <w:numFmt w:val="bullet"/>
      <w:lvlText w:val="•"/>
      <w:lvlJc w:val="left"/>
      <w:pPr>
        <w:ind w:left="2160" w:hanging="540"/>
      </w:pPr>
      <w:rPr>
        <w:smallCaps w:val="0"/>
        <w:strike w:val="0"/>
        <w:shd w:fill="auto" w:val="clear"/>
        <w:vertAlign w:val="baseline"/>
      </w:rPr>
    </w:lvl>
    <w:lvl w:ilvl="8">
      <w:start w:val="1"/>
      <w:numFmt w:val="bullet"/>
      <w:lvlText w:val="•"/>
      <w:lvlJc w:val="left"/>
      <w:pPr>
        <w:ind w:left="2340" w:hanging="54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Label">
    <w:name w:val="Label"/>
    <w:next w:val="Label"/>
    <w:pPr>
      <w:keepNext w:val="0"/>
      <w:keepLines w:val="0"/>
      <w:pageBreakBefore w:val="0"/>
      <w:widowControl w:val="1"/>
      <w:shd w:color="auto" w:fill="auto" w:val="clear"/>
      <w:suppressAutoHyphens w:val="0"/>
      <w:bidi w:val="0"/>
      <w:spacing w:after="0" w:before="0" w:line="240" w:lineRule="auto"/>
      <w:ind w:left="0" w:right="0" w:firstLine="0"/>
      <w:jc w:val="center"/>
      <w:outlineLvl w:val="9"/>
    </w:pPr>
    <w:rPr>
      <w:rFonts w:ascii="Helvetica" w:cs="Arial Unicode MS" w:eastAsia="Arial Unicode MS" w:hAnsi="Helvetica"/>
      <w:b w:val="0"/>
      <w:bCs w:val="0"/>
      <w:i w:val="0"/>
      <w:iCs w:val="0"/>
      <w:caps w:val="0"/>
      <w:smallCaps w:val="0"/>
      <w:strike w:val="0"/>
      <w:dstrike w:val="0"/>
      <w:outline w:val="0"/>
      <w:color w:val="fefefe"/>
      <w:spacing w:val="0"/>
      <w:kern w:val="0"/>
      <w:position w:val="0"/>
      <w:sz w:val="24"/>
      <w:szCs w:val="24"/>
      <w:u w:val="none"/>
      <w:vertAlign w:val="baseline"/>
      <w:lang w:val="en-US"/>
      <w14:shadow w14:blurRad="50800" w14:sx="100000" w14:algn="tl" w14:dir="2700000" w14:dist="35997" w14:sy="100000">
        <w14:srgbClr w14:val="000000">
          <w14:alpha w14:val="68965"/>
        </w14:srgbClr>
      </w14:shadow>
    </w:rPr>
  </w:style>
  <w:style w:type="numbering" w:styleId="Bullet">
    <w:name w:val="Bullet"/>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hpA5Z8H0SopBxpZ49Nb9Askc2g==">CgMxLjA4AHIhMTB1eU0yLURxaGZfYUpLenMzRXQtVC1LUjBxdWw5enV3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